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DFEB" w14:textId="77777777" w:rsidR="00054742" w:rsidRDefault="00054742" w:rsidP="007F3B1B">
      <w:pPr>
        <w:rPr>
          <w:rFonts w:ascii="Arial" w:hAnsi="Arial" w:cs="Arial"/>
          <w:sz w:val="18"/>
          <w:szCs w:val="18"/>
        </w:rPr>
      </w:pPr>
      <w:bookmarkStart w:id="0" w:name="_Hlk6215068"/>
      <w:r>
        <w:rPr>
          <w:noProof/>
          <w:lang w:eastAsia="pl-PL"/>
        </w:rPr>
        <w:drawing>
          <wp:inline distT="0" distB="0" distL="0" distR="0" wp14:anchorId="7D6C3623" wp14:editId="39DF33F1">
            <wp:extent cx="5760720" cy="421005"/>
            <wp:effectExtent l="0" t="0" r="0" b="0"/>
            <wp:docPr id="1" name="Obraz 1" descr="Pasek logotypów zawierających kolejno: logo Funduszy Europejskich z odniesieniem słownym do programu regionalnego, barwy Rzeczpospolitej Polskiej, logo Podkarpac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FDBC" w14:textId="77777777" w:rsidR="00054742" w:rsidRPr="00231A62" w:rsidRDefault="00054742" w:rsidP="007F3B1B">
      <w:pPr>
        <w:rPr>
          <w:rFonts w:ascii="Arial" w:hAnsi="Arial" w:cs="Arial"/>
          <w:sz w:val="18"/>
          <w:szCs w:val="18"/>
        </w:rPr>
      </w:pPr>
      <w:r w:rsidRPr="00231A62">
        <w:rPr>
          <w:rFonts w:ascii="Arial" w:hAnsi="Arial" w:cs="Arial"/>
          <w:sz w:val="18"/>
          <w:szCs w:val="18"/>
        </w:rPr>
        <w:t>Załącznik nr 1 do Zaproszenia do złożenia oferty</w:t>
      </w:r>
    </w:p>
    <w:p w14:paraId="05AFD417" w14:textId="77777777" w:rsidR="00054742" w:rsidRDefault="00054742" w:rsidP="007F3B1B">
      <w:pPr>
        <w:spacing w:after="0"/>
        <w:rPr>
          <w:rFonts w:ascii="Arial" w:hAnsi="Arial" w:cs="Arial"/>
          <w:b/>
          <w:sz w:val="24"/>
          <w:szCs w:val="24"/>
        </w:rPr>
      </w:pPr>
    </w:p>
    <w:p w14:paraId="45683213" w14:textId="77777777" w:rsidR="00054742" w:rsidRPr="00AF03F5" w:rsidRDefault="00054742" w:rsidP="00AF03F5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AF03F5">
        <w:rPr>
          <w:rFonts w:ascii="Arial" w:hAnsi="Arial" w:cs="Arial"/>
          <w:b/>
          <w:bCs/>
          <w:color w:val="auto"/>
          <w:sz w:val="28"/>
          <w:szCs w:val="28"/>
        </w:rPr>
        <w:t>Szczegółowy opis przedmiotu zamówienia</w:t>
      </w:r>
    </w:p>
    <w:p w14:paraId="4955D3D3" w14:textId="77777777" w:rsidR="00054742" w:rsidRPr="007F3B1B" w:rsidRDefault="00054742" w:rsidP="007F3B1B">
      <w:pPr>
        <w:pStyle w:val="Nagwek1"/>
        <w:rPr>
          <w:b/>
          <w:bCs/>
          <w:color w:val="000000" w:themeColor="text1"/>
        </w:rPr>
      </w:pPr>
    </w:p>
    <w:p w14:paraId="7CAC2615" w14:textId="7DE0AFF4" w:rsidR="00054742" w:rsidRPr="00D56DEA" w:rsidRDefault="00054742" w:rsidP="007F3B1B">
      <w:pPr>
        <w:pStyle w:val="Bodytext141"/>
        <w:shd w:val="clear" w:color="auto" w:fill="auto"/>
        <w:tabs>
          <w:tab w:val="left" w:pos="-142"/>
          <w:tab w:val="left" w:pos="9071"/>
        </w:tabs>
        <w:spacing w:line="276" w:lineRule="auto"/>
        <w:ind w:firstLine="0"/>
        <w:rPr>
          <w:b w:val="0"/>
          <w:bCs w:val="0"/>
          <w:sz w:val="24"/>
          <w:szCs w:val="24"/>
        </w:rPr>
      </w:pPr>
      <w:r w:rsidRPr="00D56DEA">
        <w:rPr>
          <w:bCs w:val="0"/>
          <w:sz w:val="24"/>
          <w:szCs w:val="24"/>
        </w:rPr>
        <w:t>Przedmiot zamówienia:</w:t>
      </w:r>
      <w:r w:rsidRPr="00D56DEA">
        <w:rPr>
          <w:b w:val="0"/>
          <w:sz w:val="24"/>
          <w:szCs w:val="24"/>
        </w:rPr>
        <w:t xml:space="preserve"> usługa polegająca na organizacji</w:t>
      </w:r>
      <w:r w:rsidRPr="00D56DEA">
        <w:rPr>
          <w:b w:val="0"/>
          <w:bCs w:val="0"/>
          <w:sz w:val="24"/>
          <w:szCs w:val="24"/>
        </w:rPr>
        <w:t xml:space="preserve"> i przeprowadzeniu czterech jednodniowych szkoleń w formie on-line z zakresu </w:t>
      </w:r>
      <w:r w:rsidR="000916B2">
        <w:rPr>
          <w:b w:val="0"/>
          <w:bCs w:val="0"/>
          <w:sz w:val="24"/>
          <w:szCs w:val="24"/>
        </w:rPr>
        <w:t>zasady zrównoważonego rozwoju</w:t>
      </w:r>
      <w:r w:rsidRPr="00D56DEA">
        <w:rPr>
          <w:b w:val="0"/>
          <w:bCs w:val="0"/>
          <w:sz w:val="24"/>
          <w:szCs w:val="24"/>
        </w:rPr>
        <w:t xml:space="preserve"> dla </w:t>
      </w:r>
      <w:bookmarkStart w:id="1" w:name="_Hlk535571030"/>
      <w:r w:rsidRPr="00D56DEA">
        <w:rPr>
          <w:b w:val="0"/>
          <w:bCs w:val="0"/>
          <w:sz w:val="24"/>
          <w:szCs w:val="24"/>
        </w:rPr>
        <w:t>pracowników zaangażowanych w realizację  RPO WP w ramach projektu „Wsparcie UMWP w Rzeszowie w związku z realizacją RPO WP w 2021 roku”.</w:t>
      </w:r>
      <w:bookmarkEnd w:id="1"/>
    </w:p>
    <w:p w14:paraId="733DEB10" w14:textId="77777777" w:rsidR="00054742" w:rsidRPr="00D56DEA" w:rsidRDefault="00054742" w:rsidP="007F3B1B">
      <w:pPr>
        <w:pStyle w:val="Bodytext141"/>
        <w:numPr>
          <w:ilvl w:val="0"/>
          <w:numId w:val="1"/>
        </w:numPr>
        <w:shd w:val="clear" w:color="auto" w:fill="auto"/>
        <w:tabs>
          <w:tab w:val="left" w:pos="9071"/>
        </w:tabs>
        <w:spacing w:line="276" w:lineRule="auto"/>
        <w:ind w:left="-142" w:firstLine="0"/>
        <w:rPr>
          <w:b w:val="0"/>
          <w:sz w:val="24"/>
          <w:szCs w:val="24"/>
        </w:rPr>
      </w:pPr>
    </w:p>
    <w:p w14:paraId="296FB355" w14:textId="5BF49B78" w:rsidR="00054742" w:rsidRPr="00D56DEA" w:rsidRDefault="00054742" w:rsidP="007F3B1B">
      <w:pPr>
        <w:spacing w:after="0"/>
        <w:rPr>
          <w:rFonts w:ascii="Arial" w:hAnsi="Arial" w:cs="Arial"/>
          <w:sz w:val="24"/>
          <w:szCs w:val="24"/>
        </w:rPr>
      </w:pPr>
      <w:r w:rsidRPr="00D56DEA">
        <w:rPr>
          <w:rFonts w:ascii="Arial" w:hAnsi="Arial" w:cs="Arial"/>
          <w:sz w:val="24"/>
          <w:szCs w:val="24"/>
          <w:u w:val="single"/>
        </w:rPr>
        <w:t>Planowana liczba uczestników</w:t>
      </w:r>
      <w:r w:rsidRPr="00D56DEA">
        <w:rPr>
          <w:rFonts w:ascii="Arial" w:hAnsi="Arial" w:cs="Arial"/>
          <w:sz w:val="24"/>
          <w:szCs w:val="24"/>
        </w:rPr>
        <w:t>: 170-22</w:t>
      </w:r>
      <w:r w:rsidR="00CD3645">
        <w:rPr>
          <w:rFonts w:ascii="Arial" w:hAnsi="Arial" w:cs="Arial"/>
          <w:sz w:val="24"/>
          <w:szCs w:val="24"/>
        </w:rPr>
        <w:t>0</w:t>
      </w:r>
      <w:r w:rsidRPr="00D56DEA">
        <w:rPr>
          <w:rFonts w:ascii="Arial" w:hAnsi="Arial" w:cs="Arial"/>
          <w:sz w:val="24"/>
          <w:szCs w:val="24"/>
        </w:rPr>
        <w:t xml:space="preserve"> osób </w:t>
      </w:r>
      <w:r>
        <w:rPr>
          <w:rFonts w:ascii="Arial" w:hAnsi="Arial" w:cs="Arial"/>
          <w:sz w:val="24"/>
          <w:szCs w:val="24"/>
        </w:rPr>
        <w:t>(pracownicy UMWP w Rzeszowie zaangażowani w realizację RPO WP)</w:t>
      </w:r>
    </w:p>
    <w:p w14:paraId="3D3F9AB9" w14:textId="77777777" w:rsidR="00054742" w:rsidRPr="00D56DEA" w:rsidRDefault="00054742" w:rsidP="007F3B1B">
      <w:pPr>
        <w:spacing w:after="0"/>
        <w:rPr>
          <w:rFonts w:ascii="Arial" w:hAnsi="Arial" w:cs="Arial"/>
          <w:sz w:val="24"/>
          <w:szCs w:val="24"/>
        </w:rPr>
      </w:pPr>
      <w:r w:rsidRPr="00D56DEA">
        <w:rPr>
          <w:rFonts w:ascii="Arial" w:hAnsi="Arial" w:cs="Arial"/>
          <w:sz w:val="24"/>
          <w:szCs w:val="24"/>
          <w:u w:val="single"/>
        </w:rPr>
        <w:t>Miejsce szkolenia</w:t>
      </w:r>
      <w:r w:rsidRPr="00D56DEA">
        <w:rPr>
          <w:rFonts w:ascii="Arial" w:hAnsi="Arial" w:cs="Arial"/>
          <w:sz w:val="24"/>
          <w:szCs w:val="24"/>
        </w:rPr>
        <w:t>: on-line,</w:t>
      </w:r>
    </w:p>
    <w:p w14:paraId="4C1F72B0" w14:textId="08274E20" w:rsidR="00054742" w:rsidRPr="00D56DEA" w:rsidRDefault="00054742" w:rsidP="007F3B1B">
      <w:pPr>
        <w:spacing w:after="0"/>
        <w:rPr>
          <w:rFonts w:ascii="Arial" w:hAnsi="Arial" w:cs="Arial"/>
          <w:sz w:val="24"/>
          <w:szCs w:val="24"/>
        </w:rPr>
      </w:pPr>
      <w:r w:rsidRPr="00D56DEA">
        <w:rPr>
          <w:rFonts w:ascii="Arial" w:hAnsi="Arial" w:cs="Arial"/>
          <w:sz w:val="24"/>
          <w:szCs w:val="24"/>
          <w:u w:val="single"/>
        </w:rPr>
        <w:t>Termin szkolenia:</w:t>
      </w:r>
      <w:r w:rsidRPr="00D56DEA">
        <w:rPr>
          <w:rFonts w:ascii="Arial" w:hAnsi="Arial" w:cs="Arial"/>
          <w:sz w:val="24"/>
          <w:szCs w:val="24"/>
        </w:rPr>
        <w:t xml:space="preserve"> Wykonawca jest zobowiązany do podania proponowanego terminu czterech jednodniowych szkoleń w okresie od </w:t>
      </w:r>
      <w:r w:rsidR="0006636F">
        <w:rPr>
          <w:rFonts w:ascii="Arial" w:hAnsi="Arial" w:cs="Arial"/>
          <w:sz w:val="24"/>
          <w:szCs w:val="24"/>
        </w:rPr>
        <w:t>1</w:t>
      </w:r>
      <w:r w:rsidR="00CD3645">
        <w:rPr>
          <w:rFonts w:ascii="Arial" w:hAnsi="Arial" w:cs="Arial"/>
          <w:sz w:val="24"/>
          <w:szCs w:val="24"/>
        </w:rPr>
        <w:t xml:space="preserve">5 </w:t>
      </w:r>
      <w:r w:rsidR="0006636F">
        <w:rPr>
          <w:rFonts w:ascii="Arial" w:hAnsi="Arial" w:cs="Arial"/>
          <w:sz w:val="24"/>
          <w:szCs w:val="24"/>
        </w:rPr>
        <w:t>listopada</w:t>
      </w:r>
      <w:r w:rsidRPr="00D56DEA">
        <w:rPr>
          <w:rFonts w:ascii="Arial" w:hAnsi="Arial" w:cs="Arial"/>
          <w:color w:val="000000" w:themeColor="text1"/>
          <w:sz w:val="24"/>
          <w:szCs w:val="24"/>
        </w:rPr>
        <w:t xml:space="preserve"> 2021 r. do </w:t>
      </w:r>
      <w:r w:rsidR="0006636F">
        <w:rPr>
          <w:rFonts w:ascii="Arial" w:hAnsi="Arial" w:cs="Arial"/>
          <w:color w:val="000000" w:themeColor="text1"/>
          <w:sz w:val="24"/>
          <w:szCs w:val="24"/>
        </w:rPr>
        <w:t>26</w:t>
      </w:r>
      <w:r w:rsidR="00CD3645">
        <w:rPr>
          <w:rFonts w:ascii="Arial" w:hAnsi="Arial" w:cs="Arial"/>
          <w:color w:val="000000" w:themeColor="text1"/>
          <w:sz w:val="24"/>
          <w:szCs w:val="24"/>
        </w:rPr>
        <w:t xml:space="preserve"> listopada</w:t>
      </w:r>
      <w:r w:rsidRPr="00D56DEA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Pr="00D56DEA">
        <w:rPr>
          <w:rFonts w:ascii="Arial" w:hAnsi="Arial" w:cs="Arial"/>
          <w:sz w:val="24"/>
          <w:szCs w:val="24"/>
        </w:rPr>
        <w:t xml:space="preserve"> r., który będzie podlegał akceptacji Zamawiającego. Szkolenia odbywać się będą w dniach od poniedziałku do piątku, z wyłączeniem dni ustawowo wolnych od pracy.</w:t>
      </w:r>
    </w:p>
    <w:p w14:paraId="6D7FAEB7" w14:textId="77777777" w:rsidR="00054742" w:rsidRPr="00D56DEA" w:rsidRDefault="00054742" w:rsidP="007F3B1B">
      <w:pPr>
        <w:spacing w:after="0"/>
        <w:rPr>
          <w:rFonts w:ascii="Arial" w:hAnsi="Arial" w:cs="Arial"/>
          <w:sz w:val="24"/>
          <w:szCs w:val="24"/>
        </w:rPr>
      </w:pPr>
    </w:p>
    <w:p w14:paraId="565E8815" w14:textId="77777777" w:rsidR="00054742" w:rsidRPr="00D56DEA" w:rsidRDefault="00054742" w:rsidP="007F3B1B">
      <w:pPr>
        <w:spacing w:after="0"/>
        <w:rPr>
          <w:rFonts w:ascii="Arial" w:hAnsi="Arial" w:cs="Arial"/>
          <w:sz w:val="24"/>
          <w:szCs w:val="24"/>
        </w:rPr>
      </w:pPr>
      <w:r w:rsidRPr="00D56DEA">
        <w:rPr>
          <w:rFonts w:ascii="Arial" w:hAnsi="Arial" w:cs="Arial"/>
          <w:sz w:val="24"/>
          <w:szCs w:val="24"/>
        </w:rPr>
        <w:t xml:space="preserve">Godziny trwania szkolenia: 9.00 – 15.00 (1 szkolenie = co najmniej 6 godz., 1 godz. = 60 min). </w:t>
      </w:r>
    </w:p>
    <w:p w14:paraId="03977329" w14:textId="77777777" w:rsidR="00054742" w:rsidRPr="00D56DEA" w:rsidRDefault="00054742" w:rsidP="007F3B1B">
      <w:pPr>
        <w:spacing w:after="0"/>
        <w:rPr>
          <w:rFonts w:ascii="Arial" w:hAnsi="Arial" w:cs="Arial"/>
          <w:sz w:val="24"/>
          <w:szCs w:val="24"/>
        </w:rPr>
      </w:pPr>
    </w:p>
    <w:p w14:paraId="6429A417" w14:textId="45E1E25A" w:rsidR="00054742" w:rsidRPr="00D56DEA" w:rsidRDefault="00054742" w:rsidP="007F3B1B">
      <w:pPr>
        <w:spacing w:after="0"/>
        <w:rPr>
          <w:rFonts w:ascii="Arial" w:hAnsi="Arial" w:cs="Arial"/>
          <w:sz w:val="24"/>
          <w:szCs w:val="24"/>
        </w:rPr>
      </w:pPr>
      <w:r w:rsidRPr="00D56DEA">
        <w:rPr>
          <w:rFonts w:ascii="Arial" w:hAnsi="Arial" w:cs="Arial"/>
          <w:sz w:val="24"/>
          <w:szCs w:val="24"/>
          <w:u w:val="single"/>
        </w:rPr>
        <w:t>Zakres tematyczny szkolenia:</w:t>
      </w:r>
      <w:r w:rsidRPr="00D56DEA">
        <w:rPr>
          <w:rFonts w:ascii="Arial" w:hAnsi="Arial" w:cs="Arial"/>
          <w:sz w:val="24"/>
          <w:szCs w:val="24"/>
        </w:rPr>
        <w:t xml:space="preserve"> Szkolenie specjalistyczne powinno zostać zorganizowane jako webinari</w:t>
      </w:r>
      <w:r w:rsidR="00CD3645">
        <w:rPr>
          <w:rFonts w:ascii="Arial" w:hAnsi="Arial" w:cs="Arial"/>
          <w:sz w:val="24"/>
          <w:szCs w:val="24"/>
        </w:rPr>
        <w:t>a</w:t>
      </w:r>
      <w:r w:rsidRPr="00D56DEA">
        <w:rPr>
          <w:rFonts w:ascii="Arial" w:hAnsi="Arial" w:cs="Arial"/>
          <w:sz w:val="24"/>
          <w:szCs w:val="24"/>
        </w:rPr>
        <w:t xml:space="preserve"> w formule warsztatów (</w:t>
      </w:r>
      <w:proofErr w:type="spellStart"/>
      <w:r w:rsidRPr="00D56DEA">
        <w:rPr>
          <w:rFonts w:ascii="Arial" w:hAnsi="Arial" w:cs="Arial"/>
          <w:sz w:val="24"/>
          <w:szCs w:val="24"/>
        </w:rPr>
        <w:t>case-study</w:t>
      </w:r>
      <w:proofErr w:type="spellEnd"/>
      <w:r w:rsidRPr="00D56DEA">
        <w:rPr>
          <w:rFonts w:ascii="Arial" w:hAnsi="Arial" w:cs="Arial"/>
          <w:sz w:val="24"/>
          <w:szCs w:val="24"/>
        </w:rPr>
        <w:t>) w trakcie których omówione zostaną przykłady dobrych praktyk oraz optymalnych rozwiązań obrazujących praktyczną implementację zasad</w:t>
      </w:r>
      <w:r w:rsidR="000916B2">
        <w:rPr>
          <w:rFonts w:ascii="Arial" w:hAnsi="Arial" w:cs="Arial"/>
          <w:sz w:val="24"/>
          <w:szCs w:val="24"/>
        </w:rPr>
        <w:t>y zrównoważonego rozwoju</w:t>
      </w:r>
      <w:r w:rsidRPr="00D56DEA">
        <w:rPr>
          <w:rFonts w:ascii="Arial" w:hAnsi="Arial" w:cs="Arial"/>
          <w:sz w:val="24"/>
          <w:szCs w:val="24"/>
        </w:rPr>
        <w:t xml:space="preserve">. </w:t>
      </w:r>
      <w:r w:rsidR="007F3B1B">
        <w:rPr>
          <w:rFonts w:ascii="Arial" w:hAnsi="Arial" w:cs="Arial"/>
          <w:sz w:val="24"/>
          <w:szCs w:val="24"/>
        </w:rPr>
        <w:t xml:space="preserve">Treści szkoleniowe powinny zostać oparte na przykładach odnoszących się do </w:t>
      </w:r>
      <w:r w:rsidRPr="00D56DEA">
        <w:rPr>
          <w:rFonts w:ascii="Arial" w:hAnsi="Arial" w:cs="Arial"/>
          <w:sz w:val="24"/>
          <w:szCs w:val="24"/>
        </w:rPr>
        <w:t>poniższ</w:t>
      </w:r>
      <w:r w:rsidR="007F3B1B">
        <w:rPr>
          <w:rFonts w:ascii="Arial" w:hAnsi="Arial" w:cs="Arial"/>
          <w:sz w:val="24"/>
          <w:szCs w:val="24"/>
        </w:rPr>
        <w:t>ych</w:t>
      </w:r>
      <w:r w:rsidRPr="00D56DEA">
        <w:rPr>
          <w:rFonts w:ascii="Arial" w:hAnsi="Arial" w:cs="Arial"/>
          <w:sz w:val="24"/>
          <w:szCs w:val="24"/>
        </w:rPr>
        <w:t xml:space="preserve"> obszar</w:t>
      </w:r>
      <w:r w:rsidR="007F3B1B">
        <w:rPr>
          <w:rFonts w:ascii="Arial" w:hAnsi="Arial" w:cs="Arial"/>
          <w:sz w:val="24"/>
          <w:szCs w:val="24"/>
        </w:rPr>
        <w:t>ów</w:t>
      </w:r>
      <w:r w:rsidRPr="00D56DEA">
        <w:rPr>
          <w:rFonts w:ascii="Arial" w:hAnsi="Arial" w:cs="Arial"/>
          <w:sz w:val="24"/>
          <w:szCs w:val="24"/>
        </w:rPr>
        <w:t xml:space="preserve"> interwencji Europejskiego Funduszu Rozwoju Regionalnego (dalej: EFRR):</w:t>
      </w:r>
    </w:p>
    <w:p w14:paraId="2C88E90A" w14:textId="77777777" w:rsidR="00054742" w:rsidRPr="00D56DEA" w:rsidRDefault="00054742" w:rsidP="007F3B1B">
      <w:pPr>
        <w:pStyle w:val="Default"/>
        <w:spacing w:after="20" w:line="276" w:lineRule="auto"/>
      </w:pPr>
      <w:r w:rsidRPr="00D56DEA">
        <w:t xml:space="preserve">1) infrastruktura badawczo-rozwojowa, badania przemysłowe, prace rozwojowe oraz ich wdrożenia; </w:t>
      </w:r>
    </w:p>
    <w:p w14:paraId="1B60E094" w14:textId="77777777" w:rsidR="00054742" w:rsidRPr="00D56DEA" w:rsidRDefault="00054742" w:rsidP="007F3B1B">
      <w:pPr>
        <w:pStyle w:val="Default"/>
        <w:spacing w:line="276" w:lineRule="auto"/>
        <w:rPr>
          <w:color w:val="auto"/>
        </w:rPr>
      </w:pPr>
      <w:r w:rsidRPr="00D56DEA">
        <w:t xml:space="preserve">2) promowanie przedsiębiorczości (strefy aktywności gospodarczej, inkubatory przedsiębiorczości, instytucje otoczenia biznesu, promocja gospodarcza, parki biznesowe, sieciowanie przedsiębiorstw); </w:t>
      </w:r>
    </w:p>
    <w:p w14:paraId="6E944D3A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 xml:space="preserve">3) wsparcie dotacyjne na rozwój przedsiębiorstw (inwestycje w maszyny, urządzenia, sprzęt produkcyjny oraz technologie informacyjno-komunikacyjne); </w:t>
      </w:r>
    </w:p>
    <w:p w14:paraId="4A63A481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 xml:space="preserve">4) e-usługi (tworzenie lub rozwój e-usług publicznych (A2B, A2C) i wewnątrzadministracyjnych (A2A), w tym tworzenie i udostępnianie zasobów cyfrowych oraz e-zdrowie); </w:t>
      </w:r>
    </w:p>
    <w:p w14:paraId="6BAABB35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lastRenderedPageBreak/>
        <w:t xml:space="preserve">5) czysta energia (odnawialne źródła energii, modernizacja energetyczna budynków, budowa, rozbudowa, przebudowa sieci, przyłączy ciepłowniczych oraz węzłów cieplnych); </w:t>
      </w:r>
    </w:p>
    <w:p w14:paraId="0FDCD200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 xml:space="preserve">6) zapobieganie i zwalczanie zagrożeń (rozwój form małej retencji, inwestycje mające na celu ochronę obszarów zagrożonych powodziami, zakup pojazdów specjalnych ochrony przeciwpożarowej, sprzętu lub wyposażenia do prowadzenia akcji ratowniczych i usuwania skutków katastrof lub poważnych awarii, budowa, przebudowa, rozbudowa, remont budowli i urządzeń dla celów ochrony przed pożarami lasów); </w:t>
      </w:r>
    </w:p>
    <w:p w14:paraId="2570F34A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 xml:space="preserve">7) gospodarka odpadami (projekty skierowane na poprawę gospodarowania odpadami komunalnymi oraz innymi niż komunalne, w tym z zakresu punktów selektywnej zbiórki odpadów komunalnych, rekultywacja składowisk odpadów); </w:t>
      </w:r>
    </w:p>
    <w:p w14:paraId="79321494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>8) gospodarka wodno-ściekowa (infrastruktura oczyszczalni ścieków, kanalizacji ściekowej, sieci wodociągowych, ujęć, stacji uzdatniania wody, zakup urządzeń i</w:t>
      </w:r>
      <w:r>
        <w:rPr>
          <w:color w:val="auto"/>
        </w:rPr>
        <w:t> </w:t>
      </w:r>
      <w:r w:rsidRPr="00D56DEA">
        <w:rPr>
          <w:color w:val="auto"/>
        </w:rPr>
        <w:t xml:space="preserve">aparatury pomiarowej w zakresie gospodarki wodno-ściekowej); </w:t>
      </w:r>
    </w:p>
    <w:p w14:paraId="114C6289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 xml:space="preserve">9) kultura (inwestycje dotyczące zachowania zabytków ruchomych i nieruchomych wraz z otoczeniem oraz instytucji kultury); </w:t>
      </w:r>
    </w:p>
    <w:p w14:paraId="3A6CE37B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 xml:space="preserve">10) różnorodność biologiczna (inwestycje dotyczące ochrony zagrożonych gatunków i siedlisk przyrodniczych na obszarach parków krajobrazowych i rezerwatów przyrody, infrastruktura związana z ochroną i przywróceniem właściwego stanu siedlisk przyrodniczych i gatunków); </w:t>
      </w:r>
    </w:p>
    <w:p w14:paraId="7E5FCAFC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 xml:space="preserve">11) infrastruktura komunikacyjna (inwestycje w zakresie dróg, infrastruktury kolejowej i taboru kolejowego oraz niskoemisyjnego transportu miejskiego); </w:t>
      </w:r>
    </w:p>
    <w:p w14:paraId="3BFB1591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 xml:space="preserve">12) rozwój potencjału endogenicznego regionu (inwestycje w zakresie infrastruktury uzdrowiskowej i turystyczno-rekreacyjnej); </w:t>
      </w:r>
    </w:p>
    <w:p w14:paraId="2A77246F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 xml:space="preserve">13) infrastruktura ochrony zdrowia i pomocy społecznej (inwestycje w zakresie infrastruktury podmiotów ochrony zdrowia, zakup sprzętu medycznego oraz wyposażenia niezbędnego do świadczenia usług medycznych, inwestycje w zakresie podmiotów świadczących usługi pomocy społecznej, jednostek systemu wspierania rodziny i systemu pieczy zastępczej); </w:t>
      </w:r>
    </w:p>
    <w:p w14:paraId="37BD781D" w14:textId="77777777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 xml:space="preserve">14) rewitalizacja przestrzeni regionalnej (inwestycje polegające przywróceniu lub nadaniu nowych funkcji społecznych, gospodarczych, edukacyjnych, kulturalnych, sportowych, turystycznych lub rekreacyjnych obiektów publicznych i budynków użyteczności publicznej wraz z przyległym otoczeniem i obszaru przestrzeni publicznej); </w:t>
      </w:r>
    </w:p>
    <w:p w14:paraId="7AB5B671" w14:textId="77777777" w:rsidR="00054742" w:rsidRPr="00D56DEA" w:rsidRDefault="00054742" w:rsidP="007F3B1B">
      <w:pPr>
        <w:pStyle w:val="Default"/>
        <w:spacing w:line="276" w:lineRule="auto"/>
        <w:rPr>
          <w:color w:val="auto"/>
        </w:rPr>
      </w:pPr>
      <w:r w:rsidRPr="00D56DEA">
        <w:rPr>
          <w:color w:val="auto"/>
        </w:rPr>
        <w:t xml:space="preserve">15) infrastruktura edukacyjna (inwestycje dotyczące infrastruktury przedszkoli, szkół podstawowych, gimnazjalnych, ponadgimnazjalnych i specjalnych prowadzących kształcenie ogólne, szkół zawodowych, placówek kształcenia ustawicznego, państwowych wyższych szkół zawodowych i instytucji popularyzujących naukę). </w:t>
      </w:r>
    </w:p>
    <w:p w14:paraId="2824F8F3" w14:textId="432CB208" w:rsidR="00054742" w:rsidRPr="00D56DEA" w:rsidRDefault="00054742" w:rsidP="007F3B1B">
      <w:pPr>
        <w:pStyle w:val="Default"/>
        <w:spacing w:line="276" w:lineRule="auto"/>
        <w:ind w:firstLine="708"/>
      </w:pPr>
      <w:r w:rsidRPr="00D56DEA">
        <w:t xml:space="preserve">W oparciu o przykłady odnoszące się do ww. obszarów ramowy program szkolenia powinien objąć w szczególności następujące zagadnienia: </w:t>
      </w:r>
    </w:p>
    <w:p w14:paraId="2D6F4B55" w14:textId="1AB477F8" w:rsidR="00054742" w:rsidRPr="00D56DEA" w:rsidRDefault="00054742" w:rsidP="007F3B1B">
      <w:pPr>
        <w:pStyle w:val="Default"/>
        <w:spacing w:line="276" w:lineRule="auto"/>
        <w:rPr>
          <w:color w:val="auto"/>
        </w:rPr>
      </w:pPr>
      <w:r w:rsidRPr="00D56DEA">
        <w:lastRenderedPageBreak/>
        <w:t>1) uwzględnienie zasady zrównoważonego rozwoju w zapisach dokumentów programowych stanowiących podstawę systemu realizacji (w szczególności w</w:t>
      </w:r>
      <w:r w:rsidR="00FF6F09">
        <w:t> </w:t>
      </w:r>
      <w:r w:rsidRPr="00D56DEA">
        <w:t xml:space="preserve">programie regionalnym oraz opisie jego priorytetów); </w:t>
      </w:r>
    </w:p>
    <w:p w14:paraId="21A9D98B" w14:textId="0F70FBDD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>2) wybór do dofinansowania projektów spełniających zasadę zrównoważonego rozwoju, w tym w szczególności właściwe sformułowanie kryteriów oraz sposób ich oceny, zapisy, które beneficjent powinien zawrzeć we wniosku o dofinansowanie oraz dokumenty, jakie powinien przedstawić celem potwierdzenia, że projekt jest zgodny z</w:t>
      </w:r>
      <w:r>
        <w:rPr>
          <w:color w:val="auto"/>
        </w:rPr>
        <w:t> </w:t>
      </w:r>
      <w:r w:rsidRPr="00D56DEA">
        <w:rPr>
          <w:color w:val="auto"/>
        </w:rPr>
        <w:t xml:space="preserve">ww. zasadami; </w:t>
      </w:r>
    </w:p>
    <w:p w14:paraId="0C0B5EEC" w14:textId="196E0142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>3) umowa jako źródło obowiązków beneficjenta w zakresie realizacji projektu zgodnie z </w:t>
      </w:r>
      <w:r w:rsidR="00CD3645" w:rsidRPr="00D56DEA">
        <w:rPr>
          <w:color w:val="auto"/>
        </w:rPr>
        <w:t xml:space="preserve"> </w:t>
      </w:r>
      <w:r w:rsidRPr="00D56DEA">
        <w:rPr>
          <w:color w:val="auto"/>
        </w:rPr>
        <w:t xml:space="preserve">zasadą zrównoważonego rozwoju, w szczególności jakie obowiązki w tym zakresie powinny wynikać bezpośrednio z zapisów umowy o dofinansowanie oraz jakimi sankcjami powinny one być obwarowane; </w:t>
      </w:r>
    </w:p>
    <w:p w14:paraId="2B454AC5" w14:textId="2C33102D" w:rsidR="00054742" w:rsidRPr="00D56DEA" w:rsidRDefault="00054742" w:rsidP="007F3B1B">
      <w:pPr>
        <w:pStyle w:val="Default"/>
        <w:spacing w:after="20" w:line="276" w:lineRule="auto"/>
        <w:rPr>
          <w:color w:val="auto"/>
        </w:rPr>
      </w:pPr>
      <w:r w:rsidRPr="00D56DEA">
        <w:rPr>
          <w:color w:val="auto"/>
        </w:rPr>
        <w:t xml:space="preserve">4) rozliczanie, monitoring i kontrola projektów współfinansowanych ze środków EFRR w kontekście przestrzegania przez beneficjentów zasady zrównoważonego rozwoju; </w:t>
      </w:r>
    </w:p>
    <w:p w14:paraId="1C52228A" w14:textId="3E0067F6" w:rsidR="00054742" w:rsidRPr="00D56DEA" w:rsidRDefault="00054742" w:rsidP="007F3B1B">
      <w:pPr>
        <w:pStyle w:val="Default"/>
        <w:spacing w:line="276" w:lineRule="auto"/>
        <w:rPr>
          <w:color w:val="auto"/>
        </w:rPr>
      </w:pPr>
      <w:r w:rsidRPr="00D56DEA">
        <w:rPr>
          <w:color w:val="auto"/>
        </w:rPr>
        <w:t xml:space="preserve">5) obowiązki beneficjentów w zakresie przestrzegania zasady zrównoważonego rozwoju w okresie trwałości projektów oraz sposoby ich monitorowania. </w:t>
      </w:r>
    </w:p>
    <w:p w14:paraId="20C8AF18" w14:textId="05B574E2" w:rsidR="00054742" w:rsidRDefault="000916B2" w:rsidP="007F3B1B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problematyka dotycząca opracowania raportu o oddziaływaniu przedsięwzięcia na środowisko.</w:t>
      </w:r>
    </w:p>
    <w:p w14:paraId="1D51C1F1" w14:textId="77777777" w:rsidR="007F3B1B" w:rsidRPr="00D56DEA" w:rsidRDefault="007F3B1B" w:rsidP="007F3B1B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4DF1F094" w14:textId="77777777" w:rsidR="00054742" w:rsidRPr="00D56DEA" w:rsidRDefault="00054742" w:rsidP="007F3B1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D56DEA">
        <w:rPr>
          <w:rFonts w:ascii="Arial" w:hAnsi="Arial" w:cs="Arial"/>
          <w:sz w:val="24"/>
          <w:szCs w:val="24"/>
        </w:rPr>
        <w:t>Wykonawca przeprowadzi rozmowy z przedstawicielami Zamawiającego w celu doprecyzowania proponowanego programu do potrzeb uczestników szkolenia.</w:t>
      </w:r>
    </w:p>
    <w:p w14:paraId="55A734D5" w14:textId="77777777" w:rsidR="00054742" w:rsidRPr="00D56DEA" w:rsidRDefault="00054742" w:rsidP="007F3B1B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622604" w14:textId="77777777" w:rsidR="00FF6F09" w:rsidRPr="004B2BD3" w:rsidRDefault="00FF6F09" w:rsidP="007F3B1B">
      <w:pPr>
        <w:spacing w:after="0"/>
        <w:ind w:left="142"/>
        <w:rPr>
          <w:rFonts w:ascii="Arial" w:hAnsi="Arial" w:cs="Arial"/>
          <w:sz w:val="24"/>
          <w:szCs w:val="24"/>
        </w:rPr>
      </w:pPr>
      <w:r w:rsidRPr="004B2BD3">
        <w:rPr>
          <w:rFonts w:ascii="Arial" w:hAnsi="Arial" w:cs="Arial"/>
          <w:sz w:val="24"/>
          <w:szCs w:val="24"/>
        </w:rPr>
        <w:t>Warunkiem udziału w postępowaniu jest dysponowanie przez Wykonawcę trenerem/wykładowcą, który spełnia poniższe wymogi:</w:t>
      </w:r>
    </w:p>
    <w:p w14:paraId="09591936" w14:textId="77777777" w:rsidR="00FF6F09" w:rsidRPr="004B2BD3" w:rsidRDefault="00FF6F09" w:rsidP="007F3B1B">
      <w:pPr>
        <w:pStyle w:val="Akapitzlist"/>
        <w:spacing w:after="0" w:line="276" w:lineRule="auto"/>
        <w:ind w:left="142"/>
        <w:contextualSpacing w:val="0"/>
        <w:rPr>
          <w:rFonts w:ascii="Arial" w:hAnsi="Arial" w:cs="Arial"/>
          <w:sz w:val="24"/>
          <w:szCs w:val="24"/>
        </w:rPr>
      </w:pPr>
      <w:r w:rsidRPr="004B2BD3">
        <w:rPr>
          <w:rFonts w:ascii="Arial" w:hAnsi="Arial" w:cs="Arial"/>
          <w:sz w:val="24"/>
          <w:szCs w:val="24"/>
        </w:rPr>
        <w:t>I - w okresie ostatnich 36 miesięcy przed upływem terminu składania ofert przeprowadził/a co najmniej 30 wykładów/warsztatów/szkoleń z zakresu wdrażania funduszy europejskich,</w:t>
      </w:r>
    </w:p>
    <w:p w14:paraId="3A28D11C" w14:textId="2CDA4BC5" w:rsidR="00FF6F09" w:rsidRPr="004B2BD3" w:rsidRDefault="00FF6F09" w:rsidP="007F3B1B">
      <w:pPr>
        <w:pStyle w:val="Akapitzlist"/>
        <w:spacing w:after="0" w:line="276" w:lineRule="auto"/>
        <w:ind w:left="142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B2BD3">
        <w:rPr>
          <w:rFonts w:ascii="Arial" w:hAnsi="Arial" w:cs="Arial"/>
          <w:sz w:val="24"/>
          <w:szCs w:val="24"/>
        </w:rPr>
        <w:t>II - w okresie ostatnich 18 miesięcy przed upływem terminu składania ofert przeprowadził/a co najmniej 7 wykładów/warsztatów/szkoleń z zakresu zasad</w:t>
      </w:r>
      <w:r w:rsidR="0094578A">
        <w:rPr>
          <w:rFonts w:ascii="Arial" w:hAnsi="Arial" w:cs="Arial"/>
          <w:sz w:val="24"/>
          <w:szCs w:val="24"/>
        </w:rPr>
        <w:t>y</w:t>
      </w:r>
      <w:r w:rsidRPr="004B2BD3">
        <w:rPr>
          <w:rFonts w:ascii="Arial" w:hAnsi="Arial" w:cs="Arial"/>
          <w:sz w:val="24"/>
          <w:szCs w:val="24"/>
        </w:rPr>
        <w:t xml:space="preserve"> </w:t>
      </w:r>
      <w:r w:rsidRPr="00FF6F09">
        <w:rPr>
          <w:rFonts w:ascii="Arial" w:hAnsi="Arial" w:cs="Arial"/>
          <w:sz w:val="24"/>
          <w:szCs w:val="24"/>
        </w:rPr>
        <w:t>zrównoważonego rozwoju</w:t>
      </w:r>
      <w:r w:rsidRPr="004B2BD3">
        <w:rPr>
          <w:rFonts w:ascii="Arial" w:hAnsi="Arial" w:cs="Arial"/>
          <w:sz w:val="24"/>
          <w:szCs w:val="24"/>
        </w:rPr>
        <w:t>.</w:t>
      </w:r>
    </w:p>
    <w:p w14:paraId="4AEAE441" w14:textId="77777777" w:rsidR="00FF6F09" w:rsidRPr="004B2BD3" w:rsidRDefault="00FF6F09" w:rsidP="007F3B1B">
      <w:pPr>
        <w:pStyle w:val="Akapitzlist"/>
        <w:spacing w:after="0" w:line="276" w:lineRule="auto"/>
        <w:ind w:left="142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B2BD3">
        <w:rPr>
          <w:rFonts w:ascii="Arial" w:hAnsi="Arial" w:cs="Arial"/>
          <w:color w:val="000000"/>
          <w:sz w:val="24"/>
          <w:szCs w:val="24"/>
        </w:rPr>
        <w:t xml:space="preserve">Trener/wykładowca musi spełnić obydwa warunki I </w:t>
      </w:r>
      <w:proofErr w:type="spellStart"/>
      <w:r w:rsidRPr="004B2BD3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B2BD3">
        <w:rPr>
          <w:rFonts w:ascii="Arial" w:hAnsi="Arial" w:cs="Arial"/>
          <w:color w:val="000000"/>
          <w:sz w:val="24"/>
          <w:szCs w:val="24"/>
        </w:rPr>
        <w:t xml:space="preserve"> II jednocześnie.</w:t>
      </w:r>
    </w:p>
    <w:p w14:paraId="30437D96" w14:textId="77777777" w:rsidR="00FF6F09" w:rsidRPr="004B2BD3" w:rsidRDefault="00FF6F09" w:rsidP="007F3B1B">
      <w:pPr>
        <w:pStyle w:val="Akapitzlist"/>
        <w:spacing w:after="0" w:line="276" w:lineRule="auto"/>
        <w:ind w:left="142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B2BD3">
        <w:rPr>
          <w:rFonts w:ascii="Arial" w:hAnsi="Arial" w:cs="Arial"/>
          <w:color w:val="000000"/>
          <w:sz w:val="24"/>
          <w:szCs w:val="24"/>
        </w:rPr>
        <w:t>Na potwierdzenie spełnienia wyżej wskazanego warunku Wykonawca złoży wykaz zgodnie z załącznikiem nr 3</w:t>
      </w:r>
      <w:r>
        <w:rPr>
          <w:rFonts w:ascii="Arial" w:hAnsi="Arial" w:cs="Arial"/>
          <w:color w:val="000000"/>
          <w:sz w:val="24"/>
          <w:szCs w:val="24"/>
        </w:rPr>
        <w:t xml:space="preserve"> do Zaproszenia do złożenia oferty.</w:t>
      </w:r>
    </w:p>
    <w:p w14:paraId="315EBDCD" w14:textId="77777777" w:rsidR="00577478" w:rsidRDefault="00577478" w:rsidP="007F3B1B">
      <w:pPr>
        <w:pStyle w:val="Akapitzlist"/>
        <w:spacing w:after="0" w:line="276" w:lineRule="auto"/>
        <w:ind w:left="993"/>
        <w:contextualSpacing w:val="0"/>
        <w:rPr>
          <w:rFonts w:ascii="Arial" w:hAnsi="Arial" w:cs="Arial"/>
          <w:color w:val="000000"/>
          <w:sz w:val="24"/>
          <w:szCs w:val="24"/>
        </w:rPr>
      </w:pPr>
    </w:p>
    <w:p w14:paraId="5732141C" w14:textId="77777777" w:rsidR="00FF6F09" w:rsidRPr="00E93E80" w:rsidRDefault="00FF6F09" w:rsidP="007F3B1B">
      <w:pPr>
        <w:pStyle w:val="Akapitzlist"/>
        <w:spacing w:after="0" w:line="276" w:lineRule="auto"/>
        <w:ind w:left="142" w:firstLine="566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B2BD3">
        <w:rPr>
          <w:rFonts w:ascii="Arial" w:hAnsi="Arial" w:cs="Arial"/>
          <w:color w:val="000000"/>
          <w:sz w:val="24"/>
          <w:szCs w:val="24"/>
        </w:rPr>
        <w:t>Jeżeli Wykonawca nie wykaże, że spełnia obydwa warunki udziału w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4B2BD3">
        <w:rPr>
          <w:rFonts w:ascii="Arial" w:hAnsi="Arial" w:cs="Arial"/>
          <w:color w:val="000000"/>
          <w:sz w:val="24"/>
          <w:szCs w:val="24"/>
        </w:rPr>
        <w:t>postępowaniu jednocześnie</w:t>
      </w:r>
      <w:r w:rsidRPr="004B2BD3">
        <w:rPr>
          <w:rFonts w:ascii="Arial" w:hAnsi="Arial" w:cs="Arial"/>
          <w:sz w:val="24"/>
          <w:szCs w:val="24"/>
        </w:rPr>
        <w:t>, jego oferta zostanie odrzucona.</w:t>
      </w:r>
    </w:p>
    <w:p w14:paraId="28D8F097" w14:textId="77777777" w:rsidR="00054742" w:rsidRPr="00D56DEA" w:rsidRDefault="00054742" w:rsidP="007F3B1B">
      <w:pPr>
        <w:pStyle w:val="Akapitzlist"/>
        <w:spacing w:after="0" w:line="276" w:lineRule="auto"/>
        <w:ind w:left="142"/>
        <w:contextualSpacing w:val="0"/>
        <w:rPr>
          <w:rFonts w:ascii="Arial" w:hAnsi="Arial" w:cs="Arial"/>
          <w:color w:val="000000"/>
          <w:sz w:val="24"/>
          <w:szCs w:val="24"/>
        </w:rPr>
      </w:pPr>
    </w:p>
    <w:p w14:paraId="259297F7" w14:textId="77777777" w:rsidR="00054742" w:rsidRPr="00D56DEA" w:rsidRDefault="00054742" w:rsidP="007F3B1B">
      <w:pPr>
        <w:pStyle w:val="Akapitzlist"/>
        <w:spacing w:after="0" w:line="276" w:lineRule="auto"/>
        <w:ind w:left="142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D56DEA">
        <w:rPr>
          <w:rFonts w:ascii="Arial" w:hAnsi="Arial" w:cs="Arial"/>
          <w:color w:val="000000"/>
          <w:sz w:val="24"/>
          <w:szCs w:val="24"/>
        </w:rPr>
        <w:t xml:space="preserve">- Wykonawca przygotuje platformę umożliwiającą przeprowadzenie zdalnego szkolenia (za pośrednictwem sieci </w:t>
      </w:r>
      <w:proofErr w:type="spellStart"/>
      <w:r w:rsidRPr="00D56DEA">
        <w:rPr>
          <w:rFonts w:ascii="Arial" w:hAnsi="Arial" w:cs="Arial"/>
          <w:color w:val="000000"/>
          <w:sz w:val="24"/>
          <w:szCs w:val="24"/>
        </w:rPr>
        <w:t>internet</w:t>
      </w:r>
      <w:proofErr w:type="spellEnd"/>
      <w:r w:rsidRPr="00D56DEA">
        <w:rPr>
          <w:rFonts w:ascii="Arial" w:hAnsi="Arial" w:cs="Arial"/>
          <w:color w:val="000000"/>
          <w:sz w:val="24"/>
          <w:szCs w:val="24"/>
        </w:rPr>
        <w:t>) z jednoczesnym dostępem do tzw. "wirtualnego pokoju" dla wszystkich uczestników danej grupy szkolenia,</w:t>
      </w:r>
    </w:p>
    <w:p w14:paraId="03DCA0AC" w14:textId="77777777" w:rsidR="00054742" w:rsidRPr="00D56DEA" w:rsidRDefault="00054742" w:rsidP="007F3B1B">
      <w:pPr>
        <w:pStyle w:val="NormalnyWeb"/>
        <w:ind w:left="142"/>
        <w:rPr>
          <w:rFonts w:ascii="Arial" w:hAnsi="Arial" w:cs="Arial"/>
          <w:color w:val="000000"/>
          <w:sz w:val="24"/>
          <w:szCs w:val="24"/>
        </w:rPr>
      </w:pPr>
      <w:r w:rsidRPr="00D56DEA">
        <w:rPr>
          <w:rFonts w:ascii="Arial" w:hAnsi="Arial" w:cs="Arial"/>
          <w:color w:val="000000"/>
          <w:sz w:val="24"/>
          <w:szCs w:val="24"/>
        </w:rPr>
        <w:t>- szkolenia prowadzone będą w formie interaktywnej z możliwością zadawania pytań,</w:t>
      </w:r>
    </w:p>
    <w:p w14:paraId="420C93F7" w14:textId="4DAA8586" w:rsidR="00054742" w:rsidRPr="00D56DEA" w:rsidRDefault="00054742" w:rsidP="007F3B1B">
      <w:pPr>
        <w:pStyle w:val="NormalnyWeb"/>
        <w:ind w:left="142"/>
        <w:rPr>
          <w:rFonts w:ascii="Arial" w:hAnsi="Arial" w:cs="Arial"/>
          <w:color w:val="000000"/>
          <w:sz w:val="24"/>
          <w:szCs w:val="24"/>
        </w:rPr>
      </w:pPr>
      <w:r w:rsidRPr="00D56DEA">
        <w:rPr>
          <w:rFonts w:ascii="Arial" w:hAnsi="Arial" w:cs="Arial"/>
          <w:color w:val="000000"/>
          <w:sz w:val="24"/>
          <w:szCs w:val="24"/>
        </w:rPr>
        <w:lastRenderedPageBreak/>
        <w:t>- uczestnik szkolenia musi posiadać możliwość oglądania prezentacji multimedialnej, będącej podstawą wykładu, oraz trenera omawiającego ujęte w</w:t>
      </w:r>
      <w:r w:rsidR="007F3B1B">
        <w:rPr>
          <w:rFonts w:ascii="Arial" w:hAnsi="Arial" w:cs="Arial"/>
          <w:color w:val="000000"/>
          <w:sz w:val="24"/>
          <w:szCs w:val="24"/>
        </w:rPr>
        <w:t> </w:t>
      </w:r>
      <w:r w:rsidRPr="00D56DEA">
        <w:rPr>
          <w:rFonts w:ascii="Arial" w:hAnsi="Arial" w:cs="Arial"/>
          <w:color w:val="000000"/>
          <w:sz w:val="24"/>
          <w:szCs w:val="24"/>
        </w:rPr>
        <w:t>programie szkolenia zagadnienia,</w:t>
      </w:r>
    </w:p>
    <w:p w14:paraId="77954E62" w14:textId="7E35F48B" w:rsidR="00054742" w:rsidRPr="00D56DEA" w:rsidRDefault="00054742" w:rsidP="007F3B1B">
      <w:pPr>
        <w:pStyle w:val="NormalnyWeb"/>
        <w:ind w:left="142"/>
        <w:rPr>
          <w:rFonts w:ascii="Arial" w:hAnsi="Arial" w:cs="Arial"/>
          <w:color w:val="000000"/>
          <w:sz w:val="24"/>
          <w:szCs w:val="24"/>
        </w:rPr>
      </w:pPr>
      <w:r w:rsidRPr="00D56DEA">
        <w:rPr>
          <w:rFonts w:ascii="Arial" w:hAnsi="Arial" w:cs="Arial"/>
          <w:color w:val="000000"/>
          <w:sz w:val="24"/>
          <w:szCs w:val="24"/>
        </w:rPr>
        <w:t>- szkolenia będą odbywać się on-line w grupach do 5</w:t>
      </w:r>
      <w:r w:rsidR="00CD3645">
        <w:rPr>
          <w:rFonts w:ascii="Arial" w:hAnsi="Arial" w:cs="Arial"/>
          <w:color w:val="000000"/>
          <w:sz w:val="24"/>
          <w:szCs w:val="24"/>
        </w:rPr>
        <w:t>5</w:t>
      </w:r>
      <w:r w:rsidRPr="00D56DEA">
        <w:rPr>
          <w:rFonts w:ascii="Arial" w:hAnsi="Arial" w:cs="Arial"/>
          <w:color w:val="000000"/>
          <w:sz w:val="24"/>
          <w:szCs w:val="24"/>
        </w:rPr>
        <w:t xml:space="preserve"> osób,</w:t>
      </w:r>
    </w:p>
    <w:p w14:paraId="35ECF5C5" w14:textId="77777777" w:rsidR="00054742" w:rsidRPr="00D56DEA" w:rsidRDefault="00054742" w:rsidP="007F3B1B">
      <w:pPr>
        <w:pStyle w:val="NormalnyWeb"/>
        <w:ind w:left="142"/>
        <w:rPr>
          <w:rFonts w:ascii="Arial" w:hAnsi="Arial" w:cs="Arial"/>
          <w:color w:val="000000"/>
          <w:sz w:val="24"/>
          <w:szCs w:val="24"/>
        </w:rPr>
      </w:pPr>
      <w:r w:rsidRPr="00D56DEA">
        <w:rPr>
          <w:rFonts w:ascii="Arial" w:hAnsi="Arial" w:cs="Arial"/>
          <w:color w:val="000000"/>
          <w:sz w:val="24"/>
          <w:szCs w:val="24"/>
        </w:rPr>
        <w:t>- wykorzystana przez Wykonawcę technologia (np. w oparciu o przeglądarkę internetową) nie będzie wymagała instalacji dodatkowego oprogramowania oraz zakupu licencji po stronie Zamawiającego,</w:t>
      </w:r>
    </w:p>
    <w:p w14:paraId="5E9D5D42" w14:textId="13CC1B6F" w:rsidR="00054742" w:rsidRPr="00D56DEA" w:rsidRDefault="00054742" w:rsidP="007F3B1B">
      <w:pPr>
        <w:pStyle w:val="NormalnyWeb"/>
        <w:ind w:left="142"/>
        <w:rPr>
          <w:rFonts w:ascii="Arial" w:hAnsi="Arial" w:cs="Arial"/>
          <w:color w:val="000000"/>
          <w:sz w:val="24"/>
          <w:szCs w:val="24"/>
        </w:rPr>
      </w:pPr>
      <w:r w:rsidRPr="00D56DE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56DEA">
        <w:rPr>
          <w:rFonts w:ascii="Arial" w:hAnsi="Arial" w:cs="Arial"/>
          <w:sz w:val="24"/>
          <w:szCs w:val="24"/>
        </w:rPr>
        <w:t>po zakończeniu szkolenia, uczestnik będzie mógł zwrócić się do trenera</w:t>
      </w:r>
      <w:r w:rsidR="006B2C4A">
        <w:rPr>
          <w:rFonts w:ascii="Arial" w:hAnsi="Arial" w:cs="Arial"/>
          <w:sz w:val="24"/>
          <w:szCs w:val="24"/>
        </w:rPr>
        <w:t>/wykładowcy</w:t>
      </w:r>
      <w:r w:rsidRPr="00D56DEA">
        <w:rPr>
          <w:rFonts w:ascii="Arial" w:hAnsi="Arial" w:cs="Arial"/>
          <w:sz w:val="24"/>
          <w:szCs w:val="24"/>
        </w:rPr>
        <w:t xml:space="preserve"> przez okres 14 dni za pośrednictwem poczty elektronicznej na adres wskazany przez Wykonawcę z pytaniami dotyczącymi tematu szkolenia</w:t>
      </w:r>
      <w:r w:rsidRPr="000306C7">
        <w:rPr>
          <w:rFonts w:ascii="Arial" w:hAnsi="Arial" w:cs="Arial"/>
          <w:sz w:val="24"/>
          <w:szCs w:val="24"/>
        </w:rPr>
        <w:t>,</w:t>
      </w:r>
    </w:p>
    <w:p w14:paraId="560F8CE2" w14:textId="77777777" w:rsidR="00054742" w:rsidRPr="00D56DEA" w:rsidRDefault="00054742" w:rsidP="007F3B1B">
      <w:pPr>
        <w:pStyle w:val="NormalnyWeb"/>
        <w:ind w:left="142"/>
        <w:rPr>
          <w:rFonts w:ascii="Arial" w:hAnsi="Arial" w:cs="Arial"/>
          <w:color w:val="000000"/>
          <w:sz w:val="24"/>
          <w:szCs w:val="24"/>
        </w:rPr>
      </w:pPr>
      <w:r w:rsidRPr="00D56DEA">
        <w:rPr>
          <w:rFonts w:ascii="Arial" w:hAnsi="Arial" w:cs="Arial"/>
          <w:color w:val="000000"/>
          <w:sz w:val="24"/>
          <w:szCs w:val="24"/>
        </w:rPr>
        <w:t>- Zamawiający wymaga przeprowadzenia testu działania platformy szkoleniowej co najmniej 3 dni przed rozpoczęciem cyklu szkoleń,</w:t>
      </w:r>
    </w:p>
    <w:p w14:paraId="2D9CA720" w14:textId="77777777" w:rsidR="00054742" w:rsidRPr="00D56DEA" w:rsidRDefault="00054742" w:rsidP="007F3B1B">
      <w:pPr>
        <w:spacing w:after="0"/>
        <w:ind w:left="142"/>
        <w:rPr>
          <w:rFonts w:ascii="Arial" w:hAnsi="Arial" w:cs="Arial"/>
          <w:sz w:val="24"/>
          <w:szCs w:val="24"/>
        </w:rPr>
      </w:pPr>
      <w:r w:rsidRPr="00D56DEA">
        <w:rPr>
          <w:rFonts w:ascii="Arial" w:hAnsi="Arial" w:cs="Arial"/>
          <w:sz w:val="24"/>
          <w:szCs w:val="24"/>
        </w:rPr>
        <w:t xml:space="preserve">- Wykonawca zapewnia materiały szkoleniowe w wersji elektronicznej w formie prezentacji multimedialnej oznaczonej zestawem logotypów i przesłanie prezentacji w formie elektronicznej na adres </w:t>
      </w:r>
      <w:hyperlink r:id="rId8" w:history="1">
        <w:r w:rsidRPr="00D56DEA">
          <w:rPr>
            <w:rStyle w:val="Hipercze"/>
            <w:rFonts w:ascii="Arial" w:hAnsi="Arial" w:cs="Arial"/>
            <w:sz w:val="24"/>
            <w:szCs w:val="24"/>
          </w:rPr>
          <w:t>m.gotkowska@podkarpackie.pl</w:t>
        </w:r>
      </w:hyperlink>
      <w:r w:rsidRPr="00D56DEA">
        <w:rPr>
          <w:rFonts w:ascii="Arial" w:hAnsi="Arial" w:cs="Arial"/>
          <w:sz w:val="24"/>
          <w:szCs w:val="24"/>
        </w:rPr>
        <w:t xml:space="preserve"> i </w:t>
      </w:r>
      <w:hyperlink r:id="rId9" w:history="1">
        <w:r w:rsidRPr="00D56DEA">
          <w:rPr>
            <w:rStyle w:val="Hipercze"/>
            <w:rFonts w:ascii="Arial" w:hAnsi="Arial" w:cs="Arial"/>
            <w:sz w:val="24"/>
            <w:szCs w:val="24"/>
          </w:rPr>
          <w:t>e.adamowicz@podkarpackie</w:t>
        </w:r>
      </w:hyperlink>
      <w:r w:rsidRPr="00D56DEA">
        <w:rPr>
          <w:rFonts w:ascii="Arial" w:hAnsi="Arial" w:cs="Arial"/>
          <w:sz w:val="24"/>
          <w:szCs w:val="24"/>
        </w:rPr>
        <w:t xml:space="preserve"> na trzy dni przed szkoleniem,</w:t>
      </w:r>
    </w:p>
    <w:p w14:paraId="6DC4351D" w14:textId="77777777" w:rsidR="00054742" w:rsidRPr="00D56DEA" w:rsidRDefault="00054742" w:rsidP="007F3B1B">
      <w:pPr>
        <w:spacing w:after="0"/>
        <w:ind w:left="142"/>
        <w:rPr>
          <w:rFonts w:ascii="Arial" w:hAnsi="Arial" w:cs="Arial"/>
          <w:sz w:val="24"/>
          <w:szCs w:val="24"/>
        </w:rPr>
      </w:pPr>
    </w:p>
    <w:p w14:paraId="1B36861C" w14:textId="652DB299" w:rsidR="00054742" w:rsidRPr="00D56DEA" w:rsidRDefault="00054742" w:rsidP="007F3B1B">
      <w:pPr>
        <w:pStyle w:val="Bodytext141"/>
        <w:tabs>
          <w:tab w:val="left" w:pos="390"/>
          <w:tab w:val="left" w:pos="9071"/>
        </w:tabs>
        <w:spacing w:line="276" w:lineRule="auto"/>
        <w:ind w:left="284" w:firstLine="0"/>
        <w:rPr>
          <w:b w:val="0"/>
          <w:bCs w:val="0"/>
          <w:sz w:val="24"/>
          <w:szCs w:val="24"/>
        </w:rPr>
      </w:pPr>
      <w:r w:rsidRPr="00D56DEA">
        <w:rPr>
          <w:b w:val="0"/>
          <w:bCs w:val="0"/>
          <w:sz w:val="24"/>
          <w:szCs w:val="24"/>
        </w:rPr>
        <w:t>- Wykonawca dostarczy uczestnikom szkolenia pisemne certyfikaty ukończenia szkolenia na adres Zamawiającego:</w:t>
      </w:r>
      <w:r w:rsidRPr="00D56DEA">
        <w:rPr>
          <w:b w:val="0"/>
          <w:bCs w:val="0"/>
          <w:color w:val="000000"/>
          <w:sz w:val="24"/>
          <w:szCs w:val="24"/>
        </w:rPr>
        <w:t xml:space="preserve"> </w:t>
      </w:r>
      <w:r w:rsidRPr="00D56DEA">
        <w:rPr>
          <w:b w:val="0"/>
          <w:bCs w:val="0"/>
          <w:sz w:val="24"/>
          <w:szCs w:val="24"/>
        </w:rPr>
        <w:t xml:space="preserve">Urząd Marszałkowski Województwa Podkarpackiego w Rzeszowie, Departament Organizacyjno-Prawny, al. Łukasza Cieplińskiego 4, 35-010 Rzeszów, pok. 210 </w:t>
      </w:r>
    </w:p>
    <w:p w14:paraId="15C39B4B" w14:textId="77777777" w:rsidR="00054742" w:rsidRPr="00D56DEA" w:rsidRDefault="00054742" w:rsidP="007F3B1B">
      <w:pPr>
        <w:spacing w:after="0"/>
        <w:ind w:left="142"/>
        <w:rPr>
          <w:rFonts w:ascii="Arial" w:hAnsi="Arial" w:cs="Arial"/>
          <w:sz w:val="24"/>
          <w:szCs w:val="24"/>
        </w:rPr>
      </w:pPr>
    </w:p>
    <w:p w14:paraId="0C294BCA" w14:textId="547F630E" w:rsidR="00054742" w:rsidRPr="00D56DEA" w:rsidRDefault="00054742" w:rsidP="007F3B1B">
      <w:pPr>
        <w:spacing w:after="0"/>
        <w:ind w:left="142"/>
        <w:rPr>
          <w:rFonts w:ascii="Arial" w:hAnsi="Arial" w:cs="Arial"/>
          <w:sz w:val="24"/>
          <w:szCs w:val="24"/>
        </w:rPr>
      </w:pPr>
      <w:r w:rsidRPr="00D56DEA">
        <w:rPr>
          <w:rFonts w:ascii="Arial" w:hAnsi="Arial" w:cs="Arial"/>
          <w:sz w:val="24"/>
          <w:szCs w:val="24"/>
        </w:rPr>
        <w:t>Wszystkie materiały szkoleniowe i certyfikaty ukończenia szkolenia powinny być opatrzone w</w:t>
      </w:r>
      <w:r w:rsidR="00CD3645">
        <w:rPr>
          <w:rFonts w:ascii="Arial" w:hAnsi="Arial" w:cs="Arial"/>
          <w:sz w:val="24"/>
          <w:szCs w:val="24"/>
        </w:rPr>
        <w:t xml:space="preserve"> odpowiednie logotypy</w:t>
      </w:r>
      <w:r w:rsidRPr="00D56DEA">
        <w:rPr>
          <w:rFonts w:ascii="Arial" w:hAnsi="Arial" w:cs="Arial"/>
          <w:sz w:val="24"/>
          <w:szCs w:val="24"/>
        </w:rPr>
        <w:t xml:space="preserve"> według wytycznych i wzorów uzgodnionych </w:t>
      </w:r>
      <w:r w:rsidRPr="00D56DEA">
        <w:rPr>
          <w:rFonts w:ascii="Arial" w:hAnsi="Arial" w:cs="Arial"/>
          <w:sz w:val="24"/>
          <w:szCs w:val="24"/>
        </w:rPr>
        <w:br/>
        <w:t>z Zamawiającym.</w:t>
      </w:r>
    </w:p>
    <w:p w14:paraId="274D390F" w14:textId="77777777" w:rsidR="00054742" w:rsidRPr="00D56DEA" w:rsidRDefault="00054742" w:rsidP="007F3B1B">
      <w:pPr>
        <w:spacing w:after="0"/>
        <w:ind w:left="142"/>
        <w:rPr>
          <w:rFonts w:ascii="Arial" w:hAnsi="Arial" w:cs="Arial"/>
          <w:sz w:val="24"/>
          <w:szCs w:val="24"/>
        </w:rPr>
      </w:pPr>
    </w:p>
    <w:p w14:paraId="5892C286" w14:textId="77777777" w:rsidR="00054742" w:rsidRPr="00D56DEA" w:rsidRDefault="00054742" w:rsidP="007F3B1B">
      <w:pPr>
        <w:spacing w:after="0"/>
        <w:ind w:left="142" w:hanging="142"/>
        <w:rPr>
          <w:rFonts w:ascii="Arial" w:hAnsi="Arial" w:cs="Arial"/>
          <w:sz w:val="24"/>
          <w:szCs w:val="24"/>
        </w:rPr>
      </w:pPr>
    </w:p>
    <w:p w14:paraId="12DA21DC" w14:textId="1A0B9C4F" w:rsidR="00057A98" w:rsidRDefault="00054742" w:rsidP="007F3B1B">
      <w:pPr>
        <w:spacing w:after="0"/>
        <w:ind w:left="142"/>
      </w:pPr>
      <w:r w:rsidRPr="00D56DEA">
        <w:rPr>
          <w:rFonts w:ascii="Arial" w:hAnsi="Arial" w:cs="Arial"/>
          <w:sz w:val="24"/>
          <w:szCs w:val="24"/>
        </w:rPr>
        <w:t>W trakcie wykonywania zamówienia Wykonawca nie może zmienić wskazanej w umowie osoby trenera</w:t>
      </w:r>
      <w:r w:rsidR="006B2C4A">
        <w:rPr>
          <w:rFonts w:ascii="Arial" w:hAnsi="Arial" w:cs="Arial"/>
          <w:sz w:val="24"/>
          <w:szCs w:val="24"/>
        </w:rPr>
        <w:t>/wykładowcy</w:t>
      </w:r>
      <w:r w:rsidRPr="00D56DEA">
        <w:rPr>
          <w:rFonts w:ascii="Arial" w:hAnsi="Arial" w:cs="Arial"/>
          <w:sz w:val="24"/>
          <w:szCs w:val="24"/>
        </w:rPr>
        <w:t xml:space="preserve"> bez wcześniejszego przedstawienia na maila: </w:t>
      </w:r>
      <w:hyperlink r:id="rId10" w:history="1">
        <w:r w:rsidRPr="00D56DEA">
          <w:rPr>
            <w:rStyle w:val="Hipercze"/>
            <w:rFonts w:ascii="Arial" w:hAnsi="Arial" w:cs="Arial"/>
            <w:color w:val="auto"/>
            <w:sz w:val="24"/>
            <w:szCs w:val="24"/>
          </w:rPr>
          <w:t>m.gotkowska@podkarpackie.pl</w:t>
        </w:r>
      </w:hyperlink>
      <w:r w:rsidRPr="00D56DEA">
        <w:rPr>
          <w:rFonts w:ascii="Arial" w:hAnsi="Arial" w:cs="Arial"/>
          <w:sz w:val="24"/>
          <w:szCs w:val="24"/>
        </w:rPr>
        <w:t xml:space="preserve"> lub </w:t>
      </w:r>
      <w:hyperlink r:id="rId11" w:history="1">
        <w:r w:rsidRPr="00D56DEA">
          <w:rPr>
            <w:rStyle w:val="Hipercze"/>
            <w:rFonts w:ascii="Arial" w:hAnsi="Arial" w:cs="Arial"/>
            <w:sz w:val="24"/>
            <w:szCs w:val="24"/>
          </w:rPr>
          <w:t>e.adamowicz@podkarpackie.pl</w:t>
        </w:r>
      </w:hyperlink>
      <w:r w:rsidRPr="00D56DEA">
        <w:rPr>
          <w:rFonts w:ascii="Arial" w:hAnsi="Arial" w:cs="Arial"/>
          <w:sz w:val="24"/>
          <w:szCs w:val="24"/>
        </w:rPr>
        <w:t xml:space="preserve"> prośby o zmianę wraz z wyjaśnieniem przyczyn i propozycji oraz wyrażenia zgody przez Zamawiającego, pod warunkiem spełnienia wszystkich co najmniej takich samych warunków określonych w ofercie, które posiadał oceniany trener</w:t>
      </w:r>
      <w:r w:rsidR="007F3B1B">
        <w:rPr>
          <w:rFonts w:ascii="Arial" w:hAnsi="Arial" w:cs="Arial"/>
          <w:sz w:val="24"/>
          <w:szCs w:val="24"/>
        </w:rPr>
        <w:t>/wykładowca</w:t>
      </w:r>
      <w:r w:rsidRPr="00D56DEA">
        <w:rPr>
          <w:rFonts w:ascii="Arial" w:hAnsi="Arial" w:cs="Arial"/>
          <w:sz w:val="24"/>
          <w:szCs w:val="24"/>
        </w:rPr>
        <w:t xml:space="preserve">.    </w:t>
      </w:r>
      <w:bookmarkEnd w:id="0"/>
    </w:p>
    <w:sectPr w:rsidR="00057A98" w:rsidSect="0006522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E9D4" w14:textId="77777777" w:rsidR="007E1029" w:rsidRDefault="007E1029">
      <w:pPr>
        <w:spacing w:after="0" w:line="240" w:lineRule="auto"/>
      </w:pPr>
      <w:r>
        <w:separator/>
      </w:r>
    </w:p>
  </w:endnote>
  <w:endnote w:type="continuationSeparator" w:id="0">
    <w:p w14:paraId="22E627E5" w14:textId="77777777" w:rsidR="007E1029" w:rsidRDefault="007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796053"/>
      <w:docPartObj>
        <w:docPartGallery w:val="Page Numbers (Bottom of Page)"/>
        <w:docPartUnique/>
      </w:docPartObj>
    </w:sdtPr>
    <w:sdtEndPr/>
    <w:sdtContent>
      <w:p w14:paraId="4ECA6A41" w14:textId="77777777" w:rsidR="00F26199" w:rsidRDefault="00FA5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5B1F12" w14:textId="77777777" w:rsidR="00F26199" w:rsidRDefault="007E1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38F5" w14:textId="77777777" w:rsidR="007E1029" w:rsidRDefault="007E1029">
      <w:pPr>
        <w:spacing w:after="0" w:line="240" w:lineRule="auto"/>
      </w:pPr>
      <w:r>
        <w:separator/>
      </w:r>
    </w:p>
  </w:footnote>
  <w:footnote w:type="continuationSeparator" w:id="0">
    <w:p w14:paraId="695F2110" w14:textId="77777777" w:rsidR="007E1029" w:rsidRDefault="007E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27676C8"/>
    <w:multiLevelType w:val="hybridMultilevel"/>
    <w:tmpl w:val="F5462E8E"/>
    <w:lvl w:ilvl="0" w:tplc="0415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42"/>
    <w:rsid w:val="000306C7"/>
    <w:rsid w:val="00054742"/>
    <w:rsid w:val="00057A98"/>
    <w:rsid w:val="0006636F"/>
    <w:rsid w:val="0007024C"/>
    <w:rsid w:val="000916B2"/>
    <w:rsid w:val="00343906"/>
    <w:rsid w:val="00373D12"/>
    <w:rsid w:val="005624F6"/>
    <w:rsid w:val="00577478"/>
    <w:rsid w:val="005F5E59"/>
    <w:rsid w:val="006052F6"/>
    <w:rsid w:val="006B2C4A"/>
    <w:rsid w:val="007E1029"/>
    <w:rsid w:val="007F3B1B"/>
    <w:rsid w:val="008846A6"/>
    <w:rsid w:val="0094578A"/>
    <w:rsid w:val="00983280"/>
    <w:rsid w:val="00AF03F5"/>
    <w:rsid w:val="00C02E9B"/>
    <w:rsid w:val="00CD3645"/>
    <w:rsid w:val="00D205EE"/>
    <w:rsid w:val="00DD4D3A"/>
    <w:rsid w:val="00DE6253"/>
    <w:rsid w:val="00DF18F7"/>
    <w:rsid w:val="00DF35B3"/>
    <w:rsid w:val="00F820A1"/>
    <w:rsid w:val="00F97B5A"/>
    <w:rsid w:val="00FA5392"/>
    <w:rsid w:val="00FE550B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44FB"/>
  <w15:chartTrackingRefBased/>
  <w15:docId w15:val="{74233A89-A958-413B-A586-72637B1A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7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3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05474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5474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05474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5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742"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054742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"/>
    <w:basedOn w:val="Domylnaczcionkaakapitu"/>
    <w:link w:val="Akapitzlist"/>
    <w:uiPriority w:val="34"/>
    <w:locked/>
    <w:rsid w:val="00054742"/>
  </w:style>
  <w:style w:type="paragraph" w:styleId="NormalnyWeb">
    <w:name w:val="Normal (Web)"/>
    <w:basedOn w:val="Normalny"/>
    <w:uiPriority w:val="99"/>
    <w:unhideWhenUsed/>
    <w:rsid w:val="0005474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054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3B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otkowska@podkarpa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adamowicz@podkarpac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gotkowska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adamowicz@podkarpack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Gotkowska Monika</dc:creator>
  <cp:keywords/>
  <dc:description/>
  <cp:lastModifiedBy>Gotkowska Monika</cp:lastModifiedBy>
  <cp:revision>17</cp:revision>
  <dcterms:created xsi:type="dcterms:W3CDTF">2021-05-25T06:39:00Z</dcterms:created>
  <dcterms:modified xsi:type="dcterms:W3CDTF">2021-09-15T07:32:00Z</dcterms:modified>
</cp:coreProperties>
</file>